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4" w:rsidRPr="00177061" w:rsidRDefault="00AE76B0" w:rsidP="00177061">
      <w:pPr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1770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Case</w:t>
      </w:r>
      <w:r w:rsidRPr="00AE76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r w:rsidRPr="001770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Study No. 2</w:t>
      </w:r>
    </w:p>
    <w:p w:rsidR="00177061" w:rsidRPr="00177061" w:rsidRDefault="00AE76B0" w:rsidP="00177061">
      <w:pPr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E76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br/>
      </w:r>
    </w:p>
    <w:p w:rsidR="00177061" w:rsidRDefault="00177061" w:rsidP="00177061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77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Task 1:</w:t>
      </w:r>
      <w:r w:rsidRPr="0017706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Review the below mentioned financial statements and define the differences from the statements drawn up according to the laws of the Czech Republic.</w:t>
      </w:r>
    </w:p>
    <w:p w:rsidR="00177061" w:rsidRPr="00177061" w:rsidRDefault="00177061" w:rsidP="00177061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7706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1770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Task 2:</w:t>
      </w:r>
      <w:r w:rsidRPr="0017706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read statements prepared in accordance with IAS / IFRS (source: internet) to several companies, and define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whether Income statement</w:t>
      </w:r>
      <w:r w:rsidRPr="0017706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drawn more frequently in species or functional classification of costs.</w:t>
      </w:r>
    </w:p>
    <w:p w:rsidR="00177061" w:rsidRPr="00177061" w:rsidRDefault="00177061" w:rsidP="00177061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7706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  <w:t>In the case of special-purpose costing check is also provided in Annex generic breakdown of costs.</w:t>
      </w:r>
    </w:p>
    <w:p w:rsidR="00177061" w:rsidRPr="00177061" w:rsidRDefault="00177061" w:rsidP="00177061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72404" w:rsidRPr="00172404" w:rsidRDefault="00172404" w:rsidP="00AE76B0">
      <w:pPr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Consolidated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="00172404"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ended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</w:t>
      </w:r>
    </w:p>
    <w:p w:rsidR="00172404" w:rsidRPr="00172404" w:rsidRDefault="00172404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6B0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Consolidated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statement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for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ended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31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2011 (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Czk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million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)</w:t>
      </w:r>
    </w:p>
    <w:p w:rsidR="00172404" w:rsidRPr="00172404" w:rsidRDefault="00172404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</w:p>
    <w:p w:rsidR="00AE76B0" w:rsidRPr="00172404" w:rsidRDefault="00AE76B0" w:rsidP="00172404">
      <w:pPr>
        <w:autoSpaceDE w:val="0"/>
        <w:autoSpaceDN w:val="0"/>
        <w:adjustRightInd w:val="0"/>
        <w:spacing w:before="0" w:line="240" w:lineRule="auto"/>
        <w:ind w:left="4248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2011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Sales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252,562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219,454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sales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215,956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190,234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Gross profit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36,606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29,220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Distribution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expenses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17,549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14,509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Administrative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expenses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6,123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5,256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operating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10,040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7,856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operating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expenses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4,717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5,995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Operating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profit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18,257 </w:t>
      </w:r>
      <w:r w:rsid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11,316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2,757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1,112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expenses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1,966 </w:t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4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1,494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791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(382)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Share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on profit (+) /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loss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(-)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associates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227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(348)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Profit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tax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19,275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10,586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tax expense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3,200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1,747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Profit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16,075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8,839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Attributable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Owner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16,035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8,781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Non-controlling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interests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AE76B0" w:rsidRPr="00172404" w:rsidRDefault="00AE76B0" w:rsidP="00D15A71">
      <w:pPr>
        <w:autoSpaceDE w:val="0"/>
        <w:autoSpaceDN w:val="0"/>
        <w:adjustRightInd w:val="0"/>
        <w:spacing w:before="0" w:line="240" w:lineRule="auto"/>
        <w:ind w:left="5664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16,075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8,839</w:t>
      </w:r>
    </w:p>
    <w:p w:rsidR="00D15A71" w:rsidRDefault="00D15A71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6B0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Consolidated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statements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ended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</w:p>
    <w:p w:rsidR="00D15A71" w:rsidRPr="00172404" w:rsidRDefault="00D15A71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6B0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Consolidated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statement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comprehensive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for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ended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31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2011 (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czk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million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)</w:t>
      </w:r>
    </w:p>
    <w:p w:rsidR="00D15A71" w:rsidRPr="00172404" w:rsidRDefault="00D15A71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</w:p>
    <w:p w:rsidR="00AE76B0" w:rsidRPr="00172404" w:rsidRDefault="00AE76B0" w:rsidP="00D15A71">
      <w:pPr>
        <w:autoSpaceDE w:val="0"/>
        <w:autoSpaceDN w:val="0"/>
        <w:adjustRightInd w:val="0"/>
        <w:spacing w:before="0" w:line="240" w:lineRule="auto"/>
        <w:ind w:left="4956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2011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Profit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16,075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8,839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Cash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flow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hedges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in fair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value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period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4,540)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(813</w:t>
      </w:r>
      <w:proofErr w:type="gramEnd"/>
      <w:r w:rsidRPr="0017240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Total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transfers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fair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value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net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profit -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effective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hedging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(1,546)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188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Total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transfers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fair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value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net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profit -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ineffective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hedging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(61)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lastRenderedPageBreak/>
        <w:t>Deferred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tax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1,155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141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Exchange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differences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(40)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comprehensive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loss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4,869)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(585</w:t>
      </w:r>
      <w:proofErr w:type="gram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comprehensive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11,206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8,254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comprehensive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attributable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Owner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11,179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8,197</w:t>
      </w:r>
    </w:p>
    <w:p w:rsidR="00AE76B0" w:rsidRPr="00172404" w:rsidRDefault="00AE76B0" w:rsidP="00AE76B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Non-controlling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interests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E76B0" w:rsidRPr="00AE76B0" w:rsidRDefault="00AE76B0" w:rsidP="00AE76B0">
      <w:pPr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SkodaPro-Bold" w:hAnsi="SkodaPro-Bold" w:cs="SkodaPro-Bold"/>
          <w:b/>
          <w:bCs/>
          <w:color w:val="9D9D9D"/>
          <w:sz w:val="20"/>
          <w:szCs w:val="20"/>
        </w:rPr>
      </w:pP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Consolidated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balance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sheet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as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at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31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2011 (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Czk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million</w:t>
      </w:r>
      <w:proofErr w:type="spellEnd"/>
      <w:r w:rsidRPr="00172404">
        <w:rPr>
          <w:rFonts w:ascii="Times New Roman" w:hAnsi="Times New Roman" w:cs="Times New Roman"/>
          <w:b/>
          <w:bCs/>
          <w:color w:val="9D9D9D"/>
          <w:sz w:val="24"/>
          <w:szCs w:val="24"/>
        </w:rPr>
        <w:t>)</w:t>
      </w:r>
    </w:p>
    <w:p w:rsidR="00D15A71" w:rsidRDefault="00D15A71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404" w:rsidRPr="00172404" w:rsidRDefault="00D15A71" w:rsidP="00D15A71">
      <w:pPr>
        <w:autoSpaceDE w:val="0"/>
        <w:autoSpaceDN w:val="0"/>
        <w:adjustRightInd w:val="0"/>
        <w:spacing w:before="0" w:line="240" w:lineRule="auto"/>
        <w:ind w:left="3540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31 </w:t>
      </w:r>
      <w:proofErr w:type="spellStart"/>
      <w:r w:rsidR="00172404"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  <w:proofErr w:type="spellEnd"/>
      <w:r w:rsidR="00172404"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72404"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proofErr w:type="spellStart"/>
      <w:r w:rsidR="00172404"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  <w:proofErr w:type="spellEnd"/>
      <w:r w:rsidR="00172404"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2010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Assets</w:t>
      </w:r>
      <w:proofErr w:type="spellEnd"/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Intangible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assets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13,654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12,969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plant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equipment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46,265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42,359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Investments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associates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940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662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receivables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assets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1,159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1,547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Deferred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tax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asset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2,668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1,327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assets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64,686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58,864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Inventories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16,061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14,408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receivables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13,423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11,028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Prepaid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tax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receivables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assets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28,076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15,361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Cash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Cash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equivalents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31,251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35,986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assets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88,871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76,872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assets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153,557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135,736</w:t>
      </w:r>
    </w:p>
    <w:p w:rsidR="00172404" w:rsidRPr="00172404" w:rsidRDefault="00172404" w:rsidP="00D15A71">
      <w:pPr>
        <w:autoSpaceDE w:val="0"/>
        <w:autoSpaceDN w:val="0"/>
        <w:adjustRightInd w:val="0"/>
        <w:spacing w:before="0" w:line="240" w:lineRule="auto"/>
        <w:ind w:left="3540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2010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liabilities</w:t>
      </w:r>
      <w:proofErr w:type="spellEnd"/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Share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16,709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16,709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Share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premium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1,578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1,578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Reserves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62,784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56,307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attributable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owner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Company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81,071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74,594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Non-controlling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interests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140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178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81,211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74,772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color w:val="000000"/>
          <w:sz w:val="24"/>
          <w:szCs w:val="24"/>
        </w:rPr>
        <w:t>Non-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3,000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3,000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non-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7,317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3,380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color w:val="000000"/>
          <w:sz w:val="24"/>
          <w:szCs w:val="24"/>
        </w:rPr>
        <w:t>Non-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11,030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9,100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21,347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15,480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228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payables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30,105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27,897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6,258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4,766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tax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1,217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1,405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proofErr w:type="spellEnd"/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 xml:space="preserve">13,278 </w:t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color w:val="000000"/>
          <w:sz w:val="24"/>
          <w:szCs w:val="24"/>
        </w:rPr>
        <w:t>11,188</w:t>
      </w:r>
    </w:p>
    <w:p w:rsidR="00172404" w:rsidRPr="00172404" w:rsidRDefault="00172404" w:rsidP="0017240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50,999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45,484</w:t>
      </w:r>
    </w:p>
    <w:p w:rsidR="00F03932" w:rsidRDefault="00172404" w:rsidP="00172404">
      <w:pPr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liabilities</w:t>
      </w:r>
      <w:proofErr w:type="spellEnd"/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153,557 </w:t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135,736</w:t>
      </w:r>
    </w:p>
    <w:p w:rsidR="00886F1C" w:rsidRDefault="00886F1C" w:rsidP="00172404">
      <w:pPr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6F1C" w:rsidRDefault="00886F1C" w:rsidP="00172404">
      <w:pPr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404" w:rsidRDefault="00172404" w:rsidP="00172404">
      <w:pPr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Source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5" w:history="1">
        <w:r w:rsidRPr="00172404">
          <w:rPr>
            <w:rStyle w:val="Hypertextovodkaz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http://www.volkswagenag.com/content/vwcorp/info_center/de/publications/2012/03/SKODA_Annual_Report_2011.bin.html/binarystorageitem/file/SKODA-annual-report-2011-ENGLISH.pdf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[2012-11-04]</w:t>
      </w:r>
    </w:p>
    <w:p w:rsidR="00886F1C" w:rsidRDefault="00886F1C" w:rsidP="00AC038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6F1C" w:rsidRDefault="00886F1C" w:rsidP="00AC038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2404" w:rsidRPr="00AC0382" w:rsidRDefault="00177061" w:rsidP="00AC0382">
      <w:pPr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382">
        <w:rPr>
          <w:rFonts w:ascii="Times New Roman" w:hAnsi="Times New Roman" w:cs="Times New Roman"/>
          <w:b/>
          <w:sz w:val="28"/>
          <w:szCs w:val="28"/>
        </w:rPr>
        <w:t>Solution</w:t>
      </w:r>
      <w:proofErr w:type="spellEnd"/>
      <w:r w:rsidRPr="00AC0382">
        <w:rPr>
          <w:rFonts w:ascii="Times New Roman" w:hAnsi="Times New Roman" w:cs="Times New Roman"/>
          <w:b/>
          <w:sz w:val="28"/>
          <w:szCs w:val="28"/>
        </w:rPr>
        <w:t>:</w:t>
      </w:r>
    </w:p>
    <w:p w:rsidR="00886F1C" w:rsidRPr="00886F1C" w:rsidRDefault="00AC0382" w:rsidP="00AC0382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886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Task</w:t>
      </w:r>
      <w:r w:rsidR="00886F1C" w:rsidRPr="00886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No.</w:t>
      </w:r>
      <w:r w:rsidRPr="00AC0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886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1:</w:t>
      </w:r>
    </w:p>
    <w:p w:rsidR="00886F1C" w:rsidRDefault="00AC0382" w:rsidP="00AC0382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03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General: according to IAS / IFRS, there is no unified prescribed format statements, statements are compiled according to different standards, based on the principle of materiality.</w:t>
      </w:r>
      <w:r w:rsidRPr="00AC03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Specifically, in the above example: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Statement of comprehensive income for the year - may be drawn up either in the full version of the statement - in this case it is actually the original version of the income statement (required before the amendment to IAS 1), accompanied by information on the so-called other comprehensive income (Other Comprehensive Income ). However, an entity may also publish two documents, one is the original income (Income Statement) and the second document is a separate statement of comprehensive income,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other comprehensive income in IAS / IFRS consists of multiple items,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according to IAS / IFRS lacks extraordinary profit area,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profit before tax and comprehensive income is divided into a part attributable to majority shareholders and part of the non-controlling interests,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 possibility of combining items statements: for example, in the balance of fixed assets listed only item: Property, plant and equipment is also merged item: Other receivables and financial assets</w:t>
      </w:r>
      <w:r w:rsid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provisions are divided into short-term and long-term portion</w:t>
      </w:r>
      <w:r w:rsid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886F1C" w:rsidRPr="00886F1C" w:rsidRDefault="00AC0382" w:rsidP="00886F1C">
      <w:pPr>
        <w:pStyle w:val="Odstavecseseznamem"/>
        <w:numPr>
          <w:ilvl w:val="0"/>
          <w:numId w:val="1"/>
        </w:numPr>
        <w:spacing w:before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proofErr w:type="gramStart"/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is</w:t>
      </w:r>
      <w:proofErr w:type="gramEnd"/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recognized ratio of equity capital to shareholders.</w:t>
      </w:r>
    </w:p>
    <w:p w:rsidR="00886F1C" w:rsidRPr="00886F1C" w:rsidRDefault="00AC0382" w:rsidP="00886F1C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886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Task</w:t>
      </w:r>
      <w:r w:rsidR="00886F1C" w:rsidRPr="00886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No.</w:t>
      </w:r>
      <w:r w:rsidRPr="00886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2:</w:t>
      </w:r>
    </w:p>
    <w:p w:rsidR="00AC0382" w:rsidRPr="00886F1C" w:rsidRDefault="00AC0382" w:rsidP="00886F1C">
      <w:pPr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proofErr w:type="gramStart"/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frequently</w:t>
      </w:r>
      <w:proofErr w:type="gramEnd"/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is compiled </w:t>
      </w:r>
      <w:r w:rsid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Income statement</w:t>
      </w:r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by functional classification. Breakdown of operating expenses by types is given in Annex only for companies operating in the Czech Republic (an example might be a company </w:t>
      </w:r>
      <w:proofErr w:type="spellStart"/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Škoda</w:t>
      </w:r>
      <w:proofErr w:type="spellEnd"/>
      <w:r w:rsidRPr="00886F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Auto), since this obligation is contained in the Czech legislation.</w:t>
      </w:r>
    </w:p>
    <w:p w:rsidR="00177061" w:rsidRPr="00172404" w:rsidRDefault="00177061" w:rsidP="00172404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177061" w:rsidRPr="00172404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kodaPro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2843"/>
    <w:multiLevelType w:val="hybridMultilevel"/>
    <w:tmpl w:val="987EB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6B0"/>
    <w:rsid w:val="00172404"/>
    <w:rsid w:val="00177061"/>
    <w:rsid w:val="003E7878"/>
    <w:rsid w:val="00464CEF"/>
    <w:rsid w:val="006A1722"/>
    <w:rsid w:val="00886F1C"/>
    <w:rsid w:val="00AC0382"/>
    <w:rsid w:val="00AE76B0"/>
    <w:rsid w:val="00B658B5"/>
    <w:rsid w:val="00D15A71"/>
    <w:rsid w:val="00F03932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AE76B0"/>
  </w:style>
  <w:style w:type="character" w:styleId="Hypertextovodkaz">
    <w:name w:val="Hyperlink"/>
    <w:basedOn w:val="Standardnpsmoodstavce"/>
    <w:uiPriority w:val="99"/>
    <w:unhideWhenUsed/>
    <w:rsid w:val="001724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6F1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41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567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82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kswagenag.com/content/vwcorp/info_center/de/publications/2012/03/SKODA_Annual_Report_2011.bin.html/binarystorageitem/file/SKODA-annual-report-2011-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2</cp:revision>
  <dcterms:created xsi:type="dcterms:W3CDTF">2012-12-04T10:46:00Z</dcterms:created>
  <dcterms:modified xsi:type="dcterms:W3CDTF">2012-12-04T12:08:00Z</dcterms:modified>
</cp:coreProperties>
</file>